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shd w:val="clear" w:fill="FFFFFF"/>
          <w:lang w:val="en-US" w:eastAsia="zh-CN" w:bidi="ar"/>
        </w:rPr>
        <w:t>四川省机关事务管理局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397"/>
        <w:gridCol w:w="2649"/>
        <w:gridCol w:w="22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省直属机关实验婴儿园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成都市胜利新村11号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省直属机关红星幼儿园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成都市岳府街3号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省直属机关西马棚幼儿园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成都市西马棚街30号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省直属机关玉泉幼儿园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成都市正通顺街81号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省直属机关东府幼儿园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成都市东府街20号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省直属机关东通顺幼儿园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成都市狮子巷56号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15AD6"/>
    <w:rsid w:val="77115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2019-10-23T06:38:00Z</dcterms:created>
  <dc:creator>ASUS</dc:creator>
  <cp:lastModifiedBy>ASUS</cp:lastModifiedBy>
  <dcterms:modified xsi:type="dcterms:W3CDTF">2019-10-23T06:38:34Z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