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716280</wp:posOffset>
            </wp:positionH>
            <wp:positionV relativeFrom="page">
              <wp:posOffset>1094740</wp:posOffset>
            </wp:positionV>
            <wp:extent cx="6123305" cy="5594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123305" cy="55943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9" w:lineRule="exact"/>
        <w:rPr>
          <w:sz w:val="24"/>
          <w:szCs w:val="24"/>
          <w:color w:val="auto"/>
        </w:rPr>
      </w:pPr>
    </w:p>
    <w:p>
      <w:pPr>
        <w:ind w:left="5600"/>
        <w:spacing w:after="0" w:line="366" w:lineRule="exact"/>
        <w:rPr>
          <w:sz w:val="20"/>
          <w:szCs w:val="20"/>
          <w:color w:val="auto"/>
        </w:rPr>
      </w:pPr>
      <w:r>
        <w:rPr>
          <w:rFonts w:ascii="仿宋" w:cs="仿宋" w:eastAsia="仿宋" w:hAnsi="仿宋"/>
          <w:sz w:val="32"/>
          <w:szCs w:val="32"/>
          <w:color w:val="333333"/>
        </w:rPr>
        <w:t>桂教师范〔2017〕56 号</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876300</wp:posOffset>
            </wp:positionH>
            <wp:positionV relativeFrom="paragraph">
              <wp:posOffset>529590</wp:posOffset>
            </wp:positionV>
            <wp:extent cx="4332605" cy="3187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4332605" cy="318770"/>
                    </a:xfrm>
                    <a:prstGeom prst="rect">
                      <a:avLst/>
                    </a:prstGeom>
                    <a:noFill/>
                  </pic:spPr>
                </pic:pic>
              </a:graphicData>
            </a:graphic>
          </wp:anchor>
        </w:drawing>
        <w:drawing>
          <wp:anchor simplePos="0" relativeHeight="251657728" behindDoc="1" locked="0" layoutInCell="0" allowOverlap="1">
            <wp:simplePos x="0" y="0"/>
            <wp:positionH relativeFrom="column">
              <wp:posOffset>1645285</wp:posOffset>
            </wp:positionH>
            <wp:positionV relativeFrom="paragraph">
              <wp:posOffset>974725</wp:posOffset>
            </wp:positionV>
            <wp:extent cx="2794635" cy="3187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2794635" cy="3187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6"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各市、县（市、区）教育局：</w:t>
      </w:r>
    </w:p>
    <w:p>
      <w:pPr>
        <w:spacing w:after="0" w:line="217" w:lineRule="exact"/>
        <w:rPr>
          <w:sz w:val="24"/>
          <w:szCs w:val="24"/>
          <w:color w:val="auto"/>
        </w:rPr>
      </w:pPr>
    </w:p>
    <w:p>
      <w:pPr>
        <w:ind w:left="800"/>
        <w:spacing w:after="0" w:line="343" w:lineRule="exact"/>
        <w:rPr>
          <w:sz w:val="20"/>
          <w:szCs w:val="20"/>
          <w:color w:val="auto"/>
        </w:rPr>
      </w:pPr>
      <w:r>
        <w:rPr>
          <w:rFonts w:ascii="仿宋" w:cs="仿宋" w:eastAsia="仿宋" w:hAnsi="仿宋"/>
          <w:sz w:val="30"/>
          <w:szCs w:val="30"/>
          <w:color w:val="auto"/>
        </w:rPr>
        <w:t>根据《中华人民共和国教师法》、《教师资格条例》、《〈教</w:t>
      </w:r>
    </w:p>
    <w:p>
      <w:pPr>
        <w:spacing w:after="0" w:line="194"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师资格条例〉实施办法》、《广西壮族自治区贯彻〈教师资格条</w:t>
      </w:r>
    </w:p>
    <w:p>
      <w:pPr>
        <w:spacing w:after="0" w:line="197"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例实施办法〉细则（试行）》精神和要求，为做好我区2017年秋</w:t>
      </w:r>
    </w:p>
    <w:p>
      <w:pPr>
        <w:spacing w:after="0" w:line="194"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季中小学教师资格认定工作，现将有关事项通知如下：</w:t>
      </w:r>
    </w:p>
    <w:p>
      <w:pPr>
        <w:spacing w:after="0" w:line="194" w:lineRule="exact"/>
        <w:rPr>
          <w:sz w:val="24"/>
          <w:szCs w:val="24"/>
          <w:color w:val="auto"/>
        </w:rPr>
      </w:pPr>
    </w:p>
    <w:p>
      <w:pPr>
        <w:ind w:left="800"/>
        <w:spacing w:after="0" w:line="366" w:lineRule="exact"/>
        <w:rPr>
          <w:sz w:val="20"/>
          <w:szCs w:val="20"/>
          <w:color w:val="auto"/>
        </w:rPr>
      </w:pPr>
      <w:r>
        <w:rPr>
          <w:rFonts w:ascii="黑体" w:cs="黑体" w:eastAsia="黑体" w:hAnsi="黑体"/>
          <w:sz w:val="32"/>
          <w:szCs w:val="32"/>
          <w:color w:val="auto"/>
        </w:rPr>
        <w:t>一、认定范围及对象</w:t>
      </w:r>
    </w:p>
    <w:p>
      <w:pPr>
        <w:spacing w:after="0" w:line="197"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（一）认定范围。</w:t>
      </w:r>
    </w:p>
    <w:p>
      <w:pPr>
        <w:spacing w:after="0" w:line="194"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在广西壮族自治区内申请幼儿园、小学、初级中学、高级中</w:t>
      </w:r>
    </w:p>
    <w:p>
      <w:pPr>
        <w:spacing w:after="0" w:line="194"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学和中等职业学校教师资格的人员。</w:t>
      </w:r>
    </w:p>
    <w:p>
      <w:pPr>
        <w:spacing w:after="0" w:line="197"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（二）认定对象。</w:t>
      </w:r>
    </w:p>
    <w:p>
      <w:pPr>
        <w:spacing w:after="0" w:line="194"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1．通过教师资格全国统一考试的人员。</w:t>
      </w:r>
    </w:p>
    <w:p>
      <w:pPr>
        <w:spacing w:after="0" w:line="194"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2．2011年及以前入学，在学期间因参军入伍（学校保留学</w:t>
      </w:r>
    </w:p>
    <w:p>
      <w:pPr>
        <w:spacing w:after="0" w:line="197"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籍）等原因，于2016年或2017年毕业的全日制普通高等学校师范</w:t>
      </w:r>
    </w:p>
    <w:p>
      <w:pPr>
        <w:spacing w:after="0" w:line="195"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类专业应届本（专）科毕业生。</w:t>
      </w:r>
    </w:p>
    <w:p>
      <w:pPr>
        <w:spacing w:after="0" w:line="194" w:lineRule="exact"/>
        <w:rPr>
          <w:sz w:val="24"/>
          <w:szCs w:val="24"/>
          <w:color w:val="auto"/>
        </w:rPr>
      </w:pPr>
    </w:p>
    <w:p>
      <w:pPr>
        <w:ind w:left="800"/>
        <w:spacing w:after="0" w:line="366" w:lineRule="exact"/>
        <w:rPr>
          <w:sz w:val="20"/>
          <w:szCs w:val="20"/>
          <w:color w:val="auto"/>
        </w:rPr>
      </w:pPr>
      <w:r>
        <w:rPr>
          <w:rFonts w:ascii="黑体" w:cs="黑体" w:eastAsia="黑体" w:hAnsi="黑体"/>
          <w:sz w:val="32"/>
          <w:szCs w:val="32"/>
          <w:color w:val="auto"/>
        </w:rPr>
        <w:t>二、认定机构和权限</w:t>
      </w:r>
    </w:p>
    <w:p>
      <w:pPr>
        <w:spacing w:after="0" w:line="197" w:lineRule="exact"/>
        <w:rPr>
          <w:sz w:val="24"/>
          <w:szCs w:val="24"/>
          <w:color w:val="auto"/>
        </w:rPr>
      </w:pPr>
    </w:p>
    <w:p>
      <w:pPr>
        <w:ind w:left="800"/>
        <w:spacing w:after="0" w:line="366" w:lineRule="exact"/>
        <w:rPr>
          <w:sz w:val="20"/>
          <w:szCs w:val="20"/>
          <w:color w:val="auto"/>
        </w:rPr>
      </w:pPr>
      <w:r>
        <w:rPr>
          <w:rFonts w:ascii="仿宋" w:cs="仿宋" w:eastAsia="仿宋" w:hAnsi="仿宋"/>
          <w:sz w:val="32"/>
          <w:szCs w:val="32"/>
          <w:color w:val="auto"/>
        </w:rPr>
        <w:t>根据《教师资格条例》规定，县级教育行政部门为幼儿园、</w:t>
      </w:r>
    </w:p>
    <w:p>
      <w:pPr>
        <w:spacing w:after="0" w:line="194" w:lineRule="exact"/>
        <w:rPr>
          <w:sz w:val="24"/>
          <w:szCs w:val="24"/>
          <w:color w:val="auto"/>
        </w:rPr>
      </w:pPr>
    </w:p>
    <w:p>
      <w:pPr>
        <w:ind w:left="140"/>
        <w:spacing w:after="0" w:line="366" w:lineRule="exact"/>
        <w:rPr>
          <w:sz w:val="20"/>
          <w:szCs w:val="20"/>
          <w:color w:val="auto"/>
        </w:rPr>
      </w:pPr>
      <w:r>
        <w:rPr>
          <w:rFonts w:ascii="仿宋" w:cs="仿宋" w:eastAsia="仿宋" w:hAnsi="仿宋"/>
          <w:sz w:val="32"/>
          <w:szCs w:val="32"/>
          <w:color w:val="auto"/>
        </w:rPr>
        <w:t>小学和初级中学教师资格认定机构；市级教育行政部门为中等职</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-132080</wp:posOffset>
            </wp:positionH>
            <wp:positionV relativeFrom="paragraph">
              <wp:posOffset>298450</wp:posOffset>
            </wp:positionV>
            <wp:extent cx="6170930" cy="1041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170930" cy="104140"/>
                    </a:xfrm>
                    <a:prstGeom prst="rect">
                      <a:avLst/>
                    </a:prstGeom>
                    <a:noFill/>
                  </pic:spPr>
                </pic:pic>
              </a:graphicData>
            </a:graphic>
          </wp:anchor>
        </w:drawing>
      </w:r>
    </w:p>
    <w:p>
      <w:pPr>
        <w:sectPr>
          <w:pgSz w:w="11900" w:h="16838" w:orient="portrait"/>
          <w:cols w:equalWidth="0" w:num="1">
            <w:col w:w="9160"/>
          </w:cols>
          <w:pgMar w:left="1440" w:top="1440" w:right="1306" w:bottom="1158"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业学校教师资格、中等职业学校实习指导教师资格和高级中学教</w:t>
      </w:r>
    </w:p>
    <w:p>
      <w:pPr>
        <w:spacing w:after="0" w:line="194"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师资格认定机构。</w:t>
      </w:r>
    </w:p>
    <w:p>
      <w:pPr>
        <w:spacing w:after="0" w:line="19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其中：桂林、崇左市教育局负责认定高级中学、中等职业学</w:t>
      </w:r>
    </w:p>
    <w:p>
      <w:pPr>
        <w:spacing w:after="0" w:line="206" w:lineRule="exact"/>
        <w:rPr>
          <w:sz w:val="20"/>
          <w:szCs w:val="20"/>
          <w:color w:val="auto"/>
        </w:rPr>
      </w:pPr>
    </w:p>
    <w:p>
      <w:pPr>
        <w:ind w:left="40"/>
        <w:spacing w:after="0" w:line="354" w:lineRule="exact"/>
        <w:rPr>
          <w:sz w:val="20"/>
          <w:szCs w:val="20"/>
          <w:color w:val="auto"/>
        </w:rPr>
      </w:pPr>
      <w:r>
        <w:rPr>
          <w:rFonts w:ascii="仿宋" w:cs="仿宋" w:eastAsia="仿宋" w:hAnsi="仿宋"/>
          <w:sz w:val="31"/>
          <w:szCs w:val="31"/>
          <w:color w:val="auto"/>
        </w:rPr>
        <w:t>校、中等职业学校实习指导、初级中学、小学、幼儿园教师资格。</w:t>
      </w:r>
    </w:p>
    <w:p>
      <w:pPr>
        <w:spacing w:after="0" w:line="194"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（两市所辖的县、区的申请人员集中在市教育局认定）。</w:t>
      </w:r>
    </w:p>
    <w:p>
      <w:pPr>
        <w:spacing w:after="0" w:line="197" w:lineRule="exact"/>
        <w:rPr>
          <w:sz w:val="20"/>
          <w:szCs w:val="20"/>
          <w:color w:val="auto"/>
        </w:rPr>
      </w:pPr>
    </w:p>
    <w:p>
      <w:pPr>
        <w:ind w:left="680"/>
        <w:spacing w:after="0" w:line="366" w:lineRule="exact"/>
        <w:rPr>
          <w:sz w:val="20"/>
          <w:szCs w:val="20"/>
          <w:color w:val="auto"/>
        </w:rPr>
      </w:pPr>
      <w:r>
        <w:rPr>
          <w:rFonts w:ascii="黑体" w:cs="黑体" w:eastAsia="黑体" w:hAnsi="黑体"/>
          <w:sz w:val="32"/>
          <w:szCs w:val="32"/>
          <w:color w:val="auto"/>
        </w:rPr>
        <w:t>三、认定时间</w:t>
      </w:r>
    </w:p>
    <w:p>
      <w:pPr>
        <w:spacing w:after="0" w:line="243" w:lineRule="exact"/>
        <w:rPr>
          <w:sz w:val="20"/>
          <w:szCs w:val="20"/>
          <w:color w:val="auto"/>
        </w:rPr>
      </w:pPr>
    </w:p>
    <w:p>
      <w:pPr>
        <w:ind w:left="40" w:right="160" w:firstLine="641"/>
        <w:spacing w:after="0" w:line="438" w:lineRule="exact"/>
        <w:rPr>
          <w:sz w:val="20"/>
          <w:szCs w:val="20"/>
          <w:color w:val="auto"/>
        </w:rPr>
      </w:pPr>
      <w:r>
        <w:rPr>
          <w:rFonts w:ascii="仿宋" w:cs="仿宋" w:eastAsia="仿宋" w:hAnsi="仿宋"/>
          <w:sz w:val="32"/>
          <w:szCs w:val="32"/>
          <w:color w:val="auto"/>
        </w:rPr>
        <w:t>根据教育部教师资格认定指导中心统一安排，今年我区教师资格认定时间如下：</w:t>
      </w:r>
    </w:p>
    <w:p>
      <w:pPr>
        <w:spacing w:after="0" w:line="19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（一）系统开放时间。</w:t>
      </w:r>
    </w:p>
    <w:p>
      <w:pPr>
        <w:spacing w:after="0" w:line="194"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11月6日至12月22日之间的每个工作日的7：00—24：00。</w:t>
      </w:r>
    </w:p>
    <w:p>
      <w:pPr>
        <w:spacing w:after="0" w:line="194"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（二）考生网报申请时间：11月6日至12月6日。</w:t>
      </w:r>
    </w:p>
    <w:p>
      <w:pPr>
        <w:spacing w:after="0" w:line="244" w:lineRule="exact"/>
        <w:rPr>
          <w:sz w:val="20"/>
          <w:szCs w:val="20"/>
          <w:color w:val="auto"/>
        </w:rPr>
      </w:pPr>
    </w:p>
    <w:p>
      <w:pPr>
        <w:ind w:left="40" w:right="160" w:firstLine="641"/>
        <w:spacing w:after="0" w:line="439" w:lineRule="exact"/>
        <w:rPr>
          <w:sz w:val="20"/>
          <w:szCs w:val="20"/>
          <w:color w:val="auto"/>
        </w:rPr>
      </w:pPr>
      <w:r>
        <w:rPr>
          <w:rFonts w:ascii="仿宋" w:cs="仿宋" w:eastAsia="仿宋" w:hAnsi="仿宋"/>
          <w:sz w:val="32"/>
          <w:szCs w:val="32"/>
          <w:color w:val="auto"/>
        </w:rPr>
        <w:t>请各市、县（市、区）务必于11月5日前在系统内设定本地认定计划，并可根据实际情况，设置多个报名和认定时间段。</w:t>
      </w:r>
    </w:p>
    <w:p>
      <w:pPr>
        <w:spacing w:after="0" w:line="195" w:lineRule="exact"/>
        <w:rPr>
          <w:sz w:val="20"/>
          <w:szCs w:val="20"/>
          <w:color w:val="auto"/>
        </w:rPr>
      </w:pPr>
    </w:p>
    <w:p>
      <w:pPr>
        <w:ind w:left="680"/>
        <w:spacing w:after="0" w:line="366" w:lineRule="exact"/>
        <w:rPr>
          <w:sz w:val="20"/>
          <w:szCs w:val="20"/>
          <w:color w:val="auto"/>
        </w:rPr>
      </w:pPr>
      <w:r>
        <w:rPr>
          <w:rFonts w:ascii="黑体" w:cs="黑体" w:eastAsia="黑体" w:hAnsi="黑体"/>
          <w:sz w:val="32"/>
          <w:szCs w:val="32"/>
          <w:color w:val="auto"/>
        </w:rPr>
        <w:t>四、认定条件</w:t>
      </w:r>
    </w:p>
    <w:p>
      <w:pPr>
        <w:spacing w:after="0" w:line="19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（一）应遵守宪法和法律，热爱教育事业，履行《教师法》</w:t>
      </w:r>
    </w:p>
    <w:p>
      <w:pPr>
        <w:spacing w:after="0" w:line="194"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规定的义务，遵守教师职业道德。</w:t>
      </w:r>
    </w:p>
    <w:p>
      <w:pPr>
        <w:spacing w:after="0" w:line="194"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（二）应具备承担教育教学工作所必需的知识以及运用所学</w:t>
      </w:r>
    </w:p>
    <w:p>
      <w:pPr>
        <w:spacing w:after="0" w:line="197"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知识分析和解决教育教学实际问题的能力。</w:t>
      </w:r>
    </w:p>
    <w:p>
      <w:pPr>
        <w:spacing w:after="0" w:line="194"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（三）应具备《教师法》规定的相应学历。2017年申请幼儿</w:t>
      </w:r>
    </w:p>
    <w:p>
      <w:pPr>
        <w:spacing w:after="0" w:line="194"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园教师资格的学历条件放宽到我区全日制中等师范学校、中等职</w:t>
      </w:r>
    </w:p>
    <w:p>
      <w:pPr>
        <w:spacing w:after="0" w:line="197"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业学校和技工院校的学前教育专业毕业生，这部分人员必须是在</w:t>
      </w:r>
    </w:p>
    <w:p>
      <w:pPr>
        <w:spacing w:after="0" w:line="194" w:lineRule="exact"/>
        <w:rPr>
          <w:sz w:val="20"/>
          <w:szCs w:val="20"/>
          <w:color w:val="auto"/>
        </w:rPr>
      </w:pPr>
    </w:p>
    <w:p>
      <w:pPr>
        <w:ind w:left="40"/>
        <w:spacing w:after="0" w:line="366" w:lineRule="exact"/>
        <w:rPr>
          <w:sz w:val="20"/>
          <w:szCs w:val="20"/>
          <w:color w:val="auto"/>
        </w:rPr>
      </w:pPr>
      <w:r>
        <w:rPr>
          <w:rFonts w:ascii="仿宋" w:cs="仿宋" w:eastAsia="仿宋" w:hAnsi="仿宋"/>
          <w:sz w:val="32"/>
          <w:szCs w:val="32"/>
          <w:color w:val="auto"/>
        </w:rPr>
        <w:t>教育厅和人力资源社会保障厅备案的人员，未备案的不予认定。</w:t>
      </w:r>
    </w:p>
    <w:p>
      <w:pPr>
        <w:sectPr>
          <w:pgSz w:w="11900" w:h="16838" w:orient="portrait"/>
          <w:cols w:equalWidth="0" w:num="1">
            <w:col w:w="9040"/>
          </w:cols>
          <w:pgMar w:left="1440" w:top="1440" w:right="1426" w:bottom="88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240"/>
        <w:spacing w:after="0" w:line="308" w:lineRule="exact"/>
        <w:rPr>
          <w:sz w:val="20"/>
          <w:szCs w:val="20"/>
          <w:color w:val="auto"/>
        </w:rPr>
      </w:pPr>
      <w:r>
        <w:rPr>
          <w:rFonts w:ascii="仿宋" w:cs="仿宋" w:eastAsia="仿宋" w:hAnsi="仿宋"/>
          <w:sz w:val="27"/>
          <w:szCs w:val="27"/>
          <w:color w:val="auto"/>
        </w:rPr>
        <w:t>—2—</w:t>
      </w:r>
    </w:p>
    <w:p>
      <w:pPr>
        <w:sectPr>
          <w:pgSz w:w="11900" w:h="16838" w:orient="portrait"/>
          <w:cols w:equalWidth="0" w:num="1">
            <w:col w:w="9040"/>
          </w:cols>
          <w:pgMar w:left="1440" w:top="1440" w:right="1426" w:bottom="881"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（四）应达到国家语言文字工作委员会颁布的《普通话水平</w:t>
      </w:r>
    </w:p>
    <w:p>
      <w:pPr>
        <w:spacing w:after="0" w:line="194"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测试等级标准》二级乙等及以上标准。其中，申请认定非语文学</w:t>
      </w:r>
    </w:p>
    <w:p>
      <w:pPr>
        <w:spacing w:after="0" w:line="197"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科教师资格者，申请时其户籍或工作单位所在地在县级人民政府</w:t>
      </w:r>
    </w:p>
    <w:p>
      <w:pPr>
        <w:spacing w:after="0" w:line="194"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驻地以外乡镇、村的，其普通话水平可以为三级甲等。</w:t>
      </w:r>
    </w:p>
    <w:p>
      <w:pPr>
        <w:spacing w:after="0" w:line="194"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（五）户籍或人事档案在认定机构管辖区内。</w:t>
      </w:r>
    </w:p>
    <w:p>
      <w:pPr>
        <w:spacing w:after="0" w:line="197"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（六）按照《广西壮族自治区申请认定教师资格人员体检标</w:t>
      </w:r>
    </w:p>
    <w:p>
      <w:pPr>
        <w:spacing w:after="0" w:line="195"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准及办法（试行）》，具有符合规定的从事教育教学工作的身体</w:t>
      </w:r>
    </w:p>
    <w:p>
      <w:pPr>
        <w:spacing w:after="0" w:line="194"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条件，在教师资格认定机构指定的医院体检合格。</w:t>
      </w:r>
    </w:p>
    <w:p>
      <w:pPr>
        <w:spacing w:after="0" w:line="197" w:lineRule="exact"/>
        <w:rPr>
          <w:sz w:val="20"/>
          <w:szCs w:val="20"/>
          <w:color w:val="auto"/>
        </w:rPr>
      </w:pPr>
    </w:p>
    <w:p>
      <w:pPr>
        <w:ind w:left="800"/>
        <w:spacing w:after="0" w:line="366" w:lineRule="exact"/>
        <w:rPr>
          <w:sz w:val="20"/>
          <w:szCs w:val="20"/>
          <w:color w:val="auto"/>
        </w:rPr>
      </w:pPr>
      <w:r>
        <w:rPr>
          <w:rFonts w:ascii="黑体" w:cs="黑体" w:eastAsia="黑体" w:hAnsi="黑体"/>
          <w:sz w:val="32"/>
          <w:szCs w:val="32"/>
          <w:color w:val="auto"/>
        </w:rPr>
        <w:t>五、认定流程</w:t>
      </w:r>
    </w:p>
    <w:p>
      <w:pPr>
        <w:spacing w:after="0" w:line="194"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（一）网上申报。</w:t>
      </w:r>
    </w:p>
    <w:p>
      <w:pPr>
        <w:spacing w:after="0" w:line="242" w:lineRule="exact"/>
        <w:rPr>
          <w:sz w:val="20"/>
          <w:szCs w:val="20"/>
          <w:color w:val="auto"/>
        </w:rPr>
      </w:pPr>
    </w:p>
    <w:p>
      <w:pPr>
        <w:jc w:val="both"/>
        <w:ind w:left="140" w:right="160" w:firstLine="641"/>
        <w:spacing w:after="0" w:line="499" w:lineRule="exact"/>
        <w:rPr>
          <w:rFonts w:ascii="仿宋" w:cs="仿宋" w:eastAsia="仿宋" w:hAnsi="仿宋"/>
          <w:sz w:val="32"/>
          <w:szCs w:val="32"/>
          <w:color w:val="auto"/>
        </w:rPr>
      </w:pPr>
      <w:r>
        <w:rPr>
          <w:rFonts w:ascii="仿宋" w:cs="仿宋" w:eastAsia="仿宋" w:hAnsi="仿宋"/>
          <w:sz w:val="32"/>
          <w:szCs w:val="32"/>
          <w:color w:val="auto"/>
        </w:rPr>
        <w:t>1．非参加国家统一考试人员在教师资格认定机构规定的报名时间内登陆“中国教师资格网”（</w:t>
      </w:r>
      <w:hyperlink r:id="rId12">
        <w:r>
          <w:rPr>
            <w:rFonts w:ascii="仿宋" w:cs="仿宋" w:eastAsia="仿宋" w:hAnsi="仿宋"/>
            <w:sz w:val="32"/>
            <w:szCs w:val="32"/>
            <w:color w:val="auto"/>
          </w:rPr>
          <w:t>www.jszg.edu.cn</w:t>
        </w:r>
      </w:hyperlink>
      <w:r>
        <w:rPr>
          <w:rFonts w:ascii="仿宋" w:cs="仿宋" w:eastAsia="仿宋" w:hAnsi="仿宋"/>
          <w:sz w:val="32"/>
          <w:szCs w:val="32"/>
          <w:color w:val="auto"/>
        </w:rPr>
        <w:t>）进行网上注册和填报申请人信息，选择“未参加全国统考申请人网报入口”进行教师资格申请报名注册及认定进度查询。</w:t>
      </w:r>
    </w:p>
    <w:p>
      <w:pPr>
        <w:spacing w:after="0" w:line="247" w:lineRule="exact"/>
        <w:rPr>
          <w:sz w:val="20"/>
          <w:szCs w:val="20"/>
          <w:color w:val="auto"/>
        </w:rPr>
      </w:pPr>
    </w:p>
    <w:p>
      <w:pPr>
        <w:jc w:val="both"/>
        <w:ind w:left="140" w:right="160" w:firstLine="641"/>
        <w:spacing w:after="0" w:line="499" w:lineRule="exact"/>
        <w:rPr>
          <w:rFonts w:ascii="仿宋" w:cs="仿宋" w:eastAsia="仿宋" w:hAnsi="仿宋"/>
          <w:sz w:val="32"/>
          <w:szCs w:val="32"/>
          <w:color w:val="auto"/>
        </w:rPr>
      </w:pPr>
      <w:r>
        <w:rPr>
          <w:rFonts w:ascii="仿宋" w:cs="仿宋" w:eastAsia="仿宋" w:hAnsi="仿宋"/>
          <w:sz w:val="32"/>
          <w:szCs w:val="32"/>
          <w:color w:val="auto"/>
        </w:rPr>
        <w:t>2．参加国家统一考试人员在教师资格认定机构规定的报名时间内登陆“中国教师资格网”（</w:t>
      </w:r>
      <w:hyperlink r:id="rId12">
        <w:r>
          <w:rPr>
            <w:rFonts w:ascii="仿宋" w:cs="仿宋" w:eastAsia="仿宋" w:hAnsi="仿宋"/>
            <w:sz w:val="32"/>
            <w:szCs w:val="32"/>
            <w:color w:val="auto"/>
          </w:rPr>
          <w:t>www.jszg.edu.cn</w:t>
        </w:r>
      </w:hyperlink>
      <w:r>
        <w:rPr>
          <w:rFonts w:ascii="仿宋" w:cs="仿宋" w:eastAsia="仿宋" w:hAnsi="仿宋"/>
          <w:sz w:val="32"/>
          <w:szCs w:val="32"/>
          <w:color w:val="auto"/>
        </w:rPr>
        <w:t>），选择“参加全国统考申请人网报入口”进行教师资格申请报名注册及认定进度查询。</w:t>
      </w:r>
    </w:p>
    <w:p>
      <w:pPr>
        <w:spacing w:after="0" w:line="196"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（二）现场确认。</w:t>
      </w:r>
    </w:p>
    <w:p>
      <w:pPr>
        <w:spacing w:after="0" w:line="242" w:lineRule="exact"/>
        <w:rPr>
          <w:sz w:val="20"/>
          <w:szCs w:val="20"/>
          <w:color w:val="auto"/>
        </w:rPr>
      </w:pPr>
    </w:p>
    <w:p>
      <w:pPr>
        <w:jc w:val="both"/>
        <w:ind w:left="140" w:right="180" w:firstLine="641"/>
        <w:spacing w:after="0" w:line="440" w:lineRule="exact"/>
        <w:rPr>
          <w:sz w:val="20"/>
          <w:szCs w:val="20"/>
          <w:color w:val="auto"/>
        </w:rPr>
      </w:pPr>
      <w:r>
        <w:rPr>
          <w:rFonts w:ascii="仿宋" w:cs="仿宋" w:eastAsia="仿宋" w:hAnsi="仿宋"/>
          <w:sz w:val="32"/>
          <w:szCs w:val="32"/>
          <w:color w:val="auto"/>
        </w:rPr>
        <w:t>申请人员在规定时间内前往教师资格认定机构指定的现场确认点提交相关申请材料。现场确认时须提交的材料如下：</w:t>
      </w:r>
    </w:p>
    <w:p>
      <w:pPr>
        <w:spacing w:after="0" w:line="195"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1．户籍证明(户口簿) 或人事档案托管证明原件、复印件。</w:t>
      </w:r>
    </w:p>
    <w:p>
      <w:pPr>
        <w:sectPr>
          <w:pgSz w:w="11900" w:h="16838" w:orient="portrait"/>
          <w:cols w:equalWidth="0" w:num="1">
            <w:col w:w="9160"/>
          </w:cols>
          <w:pgMar w:left="1440" w:top="1440" w:right="1306" w:bottom="88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8080"/>
        <w:spacing w:after="0" w:line="308" w:lineRule="exact"/>
        <w:rPr>
          <w:sz w:val="20"/>
          <w:szCs w:val="20"/>
          <w:color w:val="auto"/>
        </w:rPr>
      </w:pPr>
      <w:r>
        <w:rPr>
          <w:rFonts w:ascii="仿宋" w:cs="仿宋" w:eastAsia="仿宋" w:hAnsi="仿宋"/>
          <w:sz w:val="27"/>
          <w:szCs w:val="27"/>
          <w:color w:val="auto"/>
        </w:rPr>
        <w:t>—3—</w:t>
      </w:r>
    </w:p>
    <w:p>
      <w:pPr>
        <w:sectPr>
          <w:pgSz w:w="11900" w:h="16838" w:orient="portrait"/>
          <w:cols w:equalWidth="0" w:num="1">
            <w:col w:w="9160"/>
          </w:cols>
          <w:pgMar w:left="1440" w:top="1440" w:right="1306" w:bottom="881" w:gutter="0" w:footer="0" w:header="0"/>
          <w:type w:val="continuous"/>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2．《教师资格认定申请表》原件一式2份。</w:t>
      </w:r>
    </w:p>
    <w:p>
      <w:pPr>
        <w:spacing w:after="0" w:line="194"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3．申请人《思想品德鉴定表》原件。</w:t>
      </w:r>
    </w:p>
    <w:p>
      <w:pPr>
        <w:spacing w:after="0" w:line="244" w:lineRule="exact"/>
        <w:rPr>
          <w:sz w:val="20"/>
          <w:szCs w:val="20"/>
          <w:color w:val="auto"/>
        </w:rPr>
      </w:pPr>
    </w:p>
    <w:p>
      <w:pPr>
        <w:jc w:val="both"/>
        <w:ind w:left="40" w:right="320" w:firstLine="641"/>
        <w:spacing w:after="0" w:line="478" w:lineRule="exact"/>
        <w:rPr>
          <w:sz w:val="20"/>
          <w:szCs w:val="20"/>
          <w:color w:val="auto"/>
        </w:rPr>
      </w:pPr>
      <w:r>
        <w:rPr>
          <w:rFonts w:ascii="仿宋" w:cs="仿宋" w:eastAsia="仿宋" w:hAnsi="仿宋"/>
          <w:sz w:val="30"/>
          <w:szCs w:val="30"/>
          <w:color w:val="auto"/>
        </w:rPr>
        <w:t>4．教师资格认定机构指定的医院出具的《广西壮族自治区教师资格认定体检表》，体检表上的结论应明确填写“合格”或“不合格”（体检结论有效期为1年），并加盖体检医院公章。</w:t>
      </w:r>
    </w:p>
    <w:p>
      <w:pPr>
        <w:spacing w:after="0" w:line="199"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5．身份证原件和复印件。</w:t>
      </w:r>
    </w:p>
    <w:p>
      <w:pPr>
        <w:spacing w:after="0" w:line="195"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6．普通话水平测试等级证书原件和复印件。</w:t>
      </w:r>
    </w:p>
    <w:p>
      <w:pPr>
        <w:spacing w:after="0" w:line="242" w:lineRule="exact"/>
        <w:rPr>
          <w:sz w:val="20"/>
          <w:szCs w:val="20"/>
          <w:color w:val="auto"/>
        </w:rPr>
      </w:pPr>
    </w:p>
    <w:p>
      <w:pPr>
        <w:jc w:val="both"/>
        <w:ind w:left="40" w:right="320" w:firstLine="641"/>
        <w:spacing w:after="0" w:line="438" w:lineRule="exact"/>
        <w:rPr>
          <w:sz w:val="20"/>
          <w:szCs w:val="20"/>
          <w:color w:val="auto"/>
        </w:rPr>
      </w:pPr>
      <w:r>
        <w:rPr>
          <w:rFonts w:ascii="仿宋" w:cs="仿宋" w:eastAsia="仿宋" w:hAnsi="仿宋"/>
          <w:sz w:val="32"/>
          <w:szCs w:val="32"/>
          <w:color w:val="auto"/>
        </w:rPr>
        <w:t>7．参加国考人员提供《中小学教师资格考试合格证明》原件和复印件，也可提供打印好的“网页版”考试合格证明。</w:t>
      </w:r>
    </w:p>
    <w:p>
      <w:pPr>
        <w:spacing w:after="0" w:line="19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8．学历证书原件和复印件。</w:t>
      </w:r>
    </w:p>
    <w:p>
      <w:pPr>
        <w:spacing w:after="0" w:line="242" w:lineRule="exact"/>
        <w:rPr>
          <w:sz w:val="20"/>
          <w:szCs w:val="20"/>
          <w:color w:val="auto"/>
        </w:rPr>
      </w:pPr>
    </w:p>
    <w:p>
      <w:pPr>
        <w:jc w:val="both"/>
        <w:ind w:left="40" w:right="320" w:firstLine="641"/>
        <w:spacing w:after="0" w:line="480" w:lineRule="exact"/>
        <w:rPr>
          <w:sz w:val="20"/>
          <w:szCs w:val="20"/>
          <w:color w:val="auto"/>
        </w:rPr>
      </w:pPr>
      <w:r>
        <w:rPr>
          <w:rFonts w:ascii="仿宋" w:cs="仿宋" w:eastAsia="仿宋" w:hAnsi="仿宋"/>
          <w:sz w:val="32"/>
          <w:szCs w:val="32"/>
          <w:color w:val="auto"/>
        </w:rPr>
        <w:t>9．申请中等职业学校实习指导教师资格人员，另需提供助理工程师以上专业技术职务或中级以上工人技术等级证书原件和复印件。</w:t>
      </w:r>
    </w:p>
    <w:p>
      <w:pPr>
        <w:spacing w:after="0" w:line="195"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10．免冠彩色标准相片1张（小2吋，3.5×4.5cm）；</w:t>
      </w:r>
    </w:p>
    <w:p>
      <w:pPr>
        <w:spacing w:after="0" w:line="19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11．教师资格认定机构要求提供的其他材料。</w:t>
      </w:r>
    </w:p>
    <w:p>
      <w:pPr>
        <w:spacing w:after="0" w:line="225" w:lineRule="exact"/>
        <w:rPr>
          <w:sz w:val="20"/>
          <w:szCs w:val="20"/>
          <w:color w:val="auto"/>
        </w:rPr>
      </w:pPr>
    </w:p>
    <w:p>
      <w:pPr>
        <w:ind w:left="40" w:firstLine="641"/>
        <w:spacing w:after="0" w:line="428" w:lineRule="exact"/>
        <w:rPr>
          <w:sz w:val="20"/>
          <w:szCs w:val="20"/>
          <w:color w:val="auto"/>
        </w:rPr>
      </w:pPr>
      <w:r>
        <w:rPr>
          <w:rFonts w:ascii="仿宋" w:cs="仿宋" w:eastAsia="仿宋" w:hAnsi="仿宋"/>
          <w:sz w:val="32"/>
          <w:szCs w:val="32"/>
          <w:color w:val="auto"/>
        </w:rPr>
        <w:t>申请人员提供以上材料时（第1项材料和相关证件原件除外），请依序装订成册。</w:t>
      </w:r>
    </w:p>
    <w:p>
      <w:pPr>
        <w:spacing w:after="0" w:line="17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（三）资格认定。</w:t>
      </w:r>
    </w:p>
    <w:p>
      <w:pPr>
        <w:spacing w:after="0" w:line="223" w:lineRule="exact"/>
        <w:rPr>
          <w:sz w:val="20"/>
          <w:szCs w:val="20"/>
          <w:color w:val="auto"/>
        </w:rPr>
      </w:pPr>
    </w:p>
    <w:p>
      <w:pPr>
        <w:jc w:val="both"/>
        <w:ind w:left="40" w:right="320" w:firstLine="641"/>
        <w:spacing w:after="0" w:line="466" w:lineRule="exact"/>
        <w:rPr>
          <w:sz w:val="20"/>
          <w:szCs w:val="20"/>
          <w:color w:val="auto"/>
        </w:rPr>
      </w:pPr>
      <w:r>
        <w:rPr>
          <w:rFonts w:ascii="仿宋" w:cs="仿宋" w:eastAsia="仿宋" w:hAnsi="仿宋"/>
          <w:sz w:val="32"/>
          <w:szCs w:val="32"/>
          <w:color w:val="auto"/>
        </w:rPr>
        <w:t>教师资格认定机构根据教师资格专家审查委员会的审查意见，在受理申请期限终止之日起30个法定工作日内作出资格认定的结论，并以适当方式将认定结果通知申请人。</w:t>
      </w:r>
    </w:p>
    <w:p>
      <w:pPr>
        <w:spacing w:after="0" w:line="177"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（四）颁发证书。</w:t>
      </w:r>
    </w:p>
    <w:p>
      <w:pPr>
        <w:spacing w:after="0" w:line="175"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经认定具备教师资格的人员，应按照教师资格认定机构的通</w:t>
      </w:r>
    </w:p>
    <w:p>
      <w:pPr>
        <w:sectPr>
          <w:pgSz w:w="11900" w:h="16838" w:orient="portrait"/>
          <w:cols w:equalWidth="0" w:num="1">
            <w:col w:w="9200"/>
          </w:cols>
          <w:pgMar w:left="1440" w:top="1440" w:right="1266" w:bottom="881" w:gutter="0" w:footer="0" w:header="0"/>
        </w:sectPr>
      </w:pPr>
    </w:p>
    <w:p>
      <w:pPr>
        <w:spacing w:after="0" w:line="329" w:lineRule="exact"/>
        <w:rPr>
          <w:sz w:val="20"/>
          <w:szCs w:val="20"/>
          <w:color w:val="auto"/>
        </w:rPr>
      </w:pPr>
    </w:p>
    <w:p>
      <w:pPr>
        <w:ind w:left="240"/>
        <w:spacing w:after="0" w:line="308" w:lineRule="exact"/>
        <w:rPr>
          <w:sz w:val="20"/>
          <w:szCs w:val="20"/>
          <w:color w:val="auto"/>
        </w:rPr>
      </w:pPr>
      <w:r>
        <w:rPr>
          <w:rFonts w:ascii="仿宋" w:cs="仿宋" w:eastAsia="仿宋" w:hAnsi="仿宋"/>
          <w:sz w:val="27"/>
          <w:szCs w:val="27"/>
          <w:color w:val="auto"/>
        </w:rPr>
        <w:t>—4—</w:t>
      </w:r>
    </w:p>
    <w:p>
      <w:pPr>
        <w:sectPr>
          <w:pgSz w:w="11900" w:h="16838" w:orient="portrait"/>
          <w:cols w:equalWidth="0" w:num="1">
            <w:col w:w="9200"/>
          </w:cols>
          <w:pgMar w:left="1440" w:top="1440" w:right="1266" w:bottom="881"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line="366" w:lineRule="exact"/>
        <w:rPr>
          <w:sz w:val="20"/>
          <w:szCs w:val="20"/>
          <w:color w:val="auto"/>
        </w:rPr>
      </w:pPr>
      <w:r>
        <w:rPr>
          <w:rFonts w:ascii="仿宋" w:cs="仿宋" w:eastAsia="仿宋" w:hAnsi="仿宋"/>
          <w:sz w:val="32"/>
          <w:szCs w:val="32"/>
          <w:color w:val="auto"/>
        </w:rPr>
        <w:t>知要求，按时到指定地点领取教师资格证书。</w:t>
      </w:r>
    </w:p>
    <w:p>
      <w:pPr>
        <w:spacing w:after="0" w:line="175" w:lineRule="exact"/>
        <w:rPr>
          <w:sz w:val="20"/>
          <w:szCs w:val="20"/>
          <w:color w:val="auto"/>
        </w:rPr>
      </w:pPr>
    </w:p>
    <w:p>
      <w:pPr>
        <w:ind w:left="800"/>
        <w:spacing w:after="0" w:line="366" w:lineRule="exact"/>
        <w:rPr>
          <w:sz w:val="20"/>
          <w:szCs w:val="20"/>
          <w:color w:val="auto"/>
        </w:rPr>
      </w:pPr>
      <w:r>
        <w:rPr>
          <w:rFonts w:ascii="黑体" w:cs="黑体" w:eastAsia="黑体" w:hAnsi="黑体"/>
          <w:sz w:val="32"/>
          <w:szCs w:val="32"/>
          <w:color w:val="auto"/>
        </w:rPr>
        <w:t>六、有关要求</w:t>
      </w:r>
    </w:p>
    <w:p>
      <w:pPr>
        <w:spacing w:after="0" w:line="240" w:lineRule="exact"/>
        <w:rPr>
          <w:sz w:val="20"/>
          <w:szCs w:val="20"/>
          <w:color w:val="auto"/>
        </w:rPr>
      </w:pPr>
    </w:p>
    <w:p>
      <w:pPr>
        <w:ind w:left="140" w:right="160" w:firstLine="641"/>
        <w:spacing w:after="0" w:line="533" w:lineRule="exact"/>
        <w:rPr>
          <w:sz w:val="20"/>
          <w:szCs w:val="20"/>
          <w:color w:val="auto"/>
        </w:rPr>
      </w:pPr>
      <w:r>
        <w:rPr>
          <w:rFonts w:ascii="仿宋" w:cs="仿宋" w:eastAsia="仿宋" w:hAnsi="仿宋"/>
          <w:sz w:val="32"/>
          <w:szCs w:val="32"/>
          <w:color w:val="auto"/>
        </w:rPr>
        <w:t>（一）请各市、县教师资格认定机构要认真学习、领会和掌握教师资格认定的有关政策，规范操作，依法认定；以人为本，保障申请人权益。在全区系统开放时间段内，要统一安排辖区内认定工作时间，通过网络、报纸等媒介加强宣传，及时发布相关信息，耐心解答社会询问，保证中小学教师资格认定工作的顺利开展。要加强教师资格认定信息管理，在12月20日前，认真做好认定数据的核查清理工作，对于不符合认定条件却误生成证书编号的数据（如未能如期取得合格学历的应届毕业生数据），要在系统内及时取消其证书编号。</w:t>
      </w:r>
    </w:p>
    <w:p>
      <w:pPr>
        <w:spacing w:after="0" w:line="250" w:lineRule="exact"/>
        <w:rPr>
          <w:sz w:val="20"/>
          <w:szCs w:val="20"/>
          <w:color w:val="auto"/>
        </w:rPr>
      </w:pPr>
    </w:p>
    <w:p>
      <w:pPr>
        <w:ind w:left="140" w:firstLine="641"/>
        <w:spacing w:after="0" w:line="479" w:lineRule="exact"/>
        <w:rPr>
          <w:sz w:val="20"/>
          <w:szCs w:val="20"/>
          <w:color w:val="auto"/>
        </w:rPr>
      </w:pPr>
      <w:r>
        <w:rPr>
          <w:rFonts w:ascii="仿宋" w:cs="仿宋" w:eastAsia="仿宋" w:hAnsi="仿宋"/>
          <w:sz w:val="31"/>
          <w:szCs w:val="31"/>
          <w:color w:val="auto"/>
        </w:rPr>
        <w:t>（二）请各市教师资格认定机构加强对符合直接认定条件申请人资格的审核管理，对其所在学校提供的学校培养师范生资质证明、毕业生名册和毕业生成绩登记表等相关材料进行认真审核。</w:t>
      </w:r>
    </w:p>
    <w:p>
      <w:pPr>
        <w:spacing w:after="0" w:line="244" w:lineRule="exact"/>
        <w:rPr>
          <w:sz w:val="20"/>
          <w:szCs w:val="20"/>
          <w:color w:val="auto"/>
        </w:rPr>
      </w:pPr>
    </w:p>
    <w:p>
      <w:pPr>
        <w:ind w:left="140" w:firstLine="641"/>
        <w:spacing w:after="0" w:line="525" w:lineRule="exact"/>
        <w:rPr>
          <w:sz w:val="20"/>
          <w:szCs w:val="20"/>
          <w:color w:val="auto"/>
        </w:rPr>
      </w:pPr>
      <w:r>
        <w:rPr>
          <w:rFonts w:ascii="仿宋" w:cs="仿宋" w:eastAsia="仿宋" w:hAnsi="仿宋"/>
          <w:sz w:val="32"/>
          <w:szCs w:val="32"/>
          <w:color w:val="auto"/>
        </w:rPr>
        <w:t>（三）各市、县（市、区）教师资格认定机构可按2016年同期认定数量的75%提前申领教师资格证书，县级认定机构所需证书由市级认定机构汇总后统一向我厅申领。同时，各地要继续做好教师资格证书的补发和换发工作，严格审核，做好纸质材料存档，并在教师资格认定管理信息系统的“证书补发换发管理”模块中进行登记。自治区教师资格认定工作办公室将以此作为各市、县（市、区）申领补、换发教师资格证书数量的依据。</w:t>
      </w:r>
    </w:p>
    <w:p>
      <w:pPr>
        <w:spacing w:after="0" w:line="199" w:lineRule="exact"/>
        <w:rPr>
          <w:sz w:val="20"/>
          <w:szCs w:val="20"/>
          <w:color w:val="auto"/>
        </w:rPr>
      </w:pPr>
    </w:p>
    <w:p>
      <w:pPr>
        <w:ind w:left="800"/>
        <w:spacing w:after="0" w:line="366" w:lineRule="exact"/>
        <w:rPr>
          <w:sz w:val="20"/>
          <w:szCs w:val="20"/>
          <w:color w:val="auto"/>
        </w:rPr>
      </w:pPr>
      <w:r>
        <w:rPr>
          <w:rFonts w:ascii="仿宋" w:cs="仿宋" w:eastAsia="仿宋" w:hAnsi="仿宋"/>
          <w:sz w:val="32"/>
          <w:szCs w:val="32"/>
          <w:color w:val="auto"/>
        </w:rPr>
        <w:t>（四）请各市、县（市、区）教育局填写《2017年秋季中小</w:t>
      </w:r>
    </w:p>
    <w:p>
      <w:pPr>
        <w:sectPr>
          <w:pgSz w:w="11900" w:h="16838" w:orient="portrait"/>
          <w:cols w:equalWidth="0" w:num="1">
            <w:col w:w="9320"/>
          </w:cols>
          <w:pgMar w:left="1440" w:top="1440" w:right="1146" w:bottom="88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8080"/>
        <w:spacing w:after="0" w:line="308" w:lineRule="exact"/>
        <w:rPr>
          <w:sz w:val="20"/>
          <w:szCs w:val="20"/>
          <w:color w:val="auto"/>
        </w:rPr>
      </w:pPr>
      <w:r>
        <w:rPr>
          <w:rFonts w:ascii="仿宋" w:cs="仿宋" w:eastAsia="仿宋" w:hAnsi="仿宋"/>
          <w:sz w:val="27"/>
          <w:szCs w:val="27"/>
          <w:color w:val="auto"/>
        </w:rPr>
        <w:t>—5—</w:t>
      </w:r>
    </w:p>
    <w:p>
      <w:pPr>
        <w:sectPr>
          <w:pgSz w:w="11900" w:h="16838" w:orient="portrait"/>
          <w:cols w:equalWidth="0" w:num="1">
            <w:col w:w="9320"/>
          </w:cols>
          <w:pgMar w:left="1440" w:top="1440" w:right="1146" w:bottom="881"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both"/>
        <w:ind w:left="40" w:right="146"/>
        <w:spacing w:after="0" w:line="480" w:lineRule="exact"/>
        <w:rPr>
          <w:sz w:val="20"/>
          <w:szCs w:val="20"/>
          <w:color w:val="auto"/>
        </w:rPr>
      </w:pPr>
      <w:r>
        <w:rPr>
          <w:rFonts w:ascii="仿宋" w:cs="仿宋" w:eastAsia="仿宋" w:hAnsi="仿宋"/>
          <w:sz w:val="32"/>
          <w:szCs w:val="32"/>
          <w:color w:val="auto"/>
        </w:rPr>
        <w:t>学教师资格认定工作安排表》（见附件），由各市汇总后于10月31日前将《工作安排表》电子版报至自治区教师资格认定工作办公室。</w:t>
      </w:r>
    </w:p>
    <w:p>
      <w:pPr>
        <w:spacing w:after="0" w:line="243" w:lineRule="exact"/>
        <w:rPr>
          <w:sz w:val="20"/>
          <w:szCs w:val="20"/>
          <w:color w:val="auto"/>
        </w:rPr>
      </w:pPr>
    </w:p>
    <w:p>
      <w:pPr>
        <w:jc w:val="both"/>
        <w:ind w:left="40" w:right="146" w:firstLine="641"/>
        <w:spacing w:after="0" w:line="438" w:lineRule="exact"/>
        <w:rPr>
          <w:sz w:val="20"/>
          <w:szCs w:val="20"/>
          <w:color w:val="auto"/>
        </w:rPr>
      </w:pPr>
      <w:r>
        <w:rPr>
          <w:rFonts w:ascii="仿宋" w:cs="仿宋" w:eastAsia="仿宋" w:hAnsi="仿宋"/>
          <w:sz w:val="31"/>
          <w:szCs w:val="31"/>
          <w:color w:val="auto"/>
        </w:rPr>
        <w:t>未尽事宜，请与我厅教师工作处联系，联系人：李明、柯林，联系电话：0771—5815208；电子邮箱：jsc0771@163.com。</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680"/>
        <w:spacing w:after="0" w:line="366" w:lineRule="exact"/>
        <w:rPr>
          <w:sz w:val="20"/>
          <w:szCs w:val="20"/>
          <w:color w:val="auto"/>
        </w:rPr>
      </w:pPr>
      <w:r>
        <w:rPr>
          <w:rFonts w:ascii="仿宋" w:cs="仿宋" w:eastAsia="仿宋" w:hAnsi="仿宋"/>
          <w:sz w:val="32"/>
          <w:szCs w:val="32"/>
          <w:color w:val="auto"/>
        </w:rPr>
        <w:t>附件： 2017年秋季中小学教师资格认定工作安排表</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left="3900"/>
        <w:spacing w:after="0" w:line="366" w:lineRule="exact"/>
        <w:rPr>
          <w:sz w:val="20"/>
          <w:szCs w:val="20"/>
          <w:color w:val="auto"/>
        </w:rPr>
      </w:pPr>
      <w:r>
        <w:rPr>
          <w:rFonts w:ascii="仿宋" w:cs="仿宋" w:eastAsia="仿宋" w:hAnsi="仿宋"/>
          <w:sz w:val="32"/>
          <w:szCs w:val="32"/>
          <w:color w:val="auto"/>
        </w:rPr>
        <w:t>广西壮族自治区教育厅</w:t>
      </w:r>
    </w:p>
    <w:p>
      <w:pPr>
        <w:spacing w:after="0" w:line="194" w:lineRule="exact"/>
        <w:rPr>
          <w:sz w:val="20"/>
          <w:szCs w:val="20"/>
          <w:color w:val="auto"/>
        </w:rPr>
      </w:pPr>
    </w:p>
    <w:p>
      <w:pPr>
        <w:jc w:val="center"/>
        <w:ind w:left="3900"/>
        <w:spacing w:after="0" w:line="366" w:lineRule="exact"/>
        <w:rPr>
          <w:sz w:val="20"/>
          <w:szCs w:val="20"/>
          <w:color w:val="auto"/>
        </w:rPr>
      </w:pPr>
      <w:r>
        <w:rPr>
          <w:rFonts w:ascii="仿宋" w:cs="仿宋" w:eastAsia="仿宋" w:hAnsi="仿宋"/>
          <w:sz w:val="32"/>
          <w:szCs w:val="32"/>
          <w:color w:val="auto"/>
        </w:rPr>
        <w:t>2017 年 9 月 25 日</w:t>
      </w:r>
    </w:p>
    <w:p>
      <w:pPr>
        <w:sectPr>
          <w:pgSz w:w="11900" w:h="16838" w:orient="portrait"/>
          <w:cols w:equalWidth="0" w:num="1">
            <w:col w:w="9026"/>
          </w:cols>
          <w:pgMar w:left="1440" w:top="1440" w:right="1440" w:bottom="88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240"/>
        <w:spacing w:after="0" w:line="308" w:lineRule="exact"/>
        <w:rPr>
          <w:sz w:val="20"/>
          <w:szCs w:val="20"/>
          <w:color w:val="auto"/>
        </w:rPr>
      </w:pPr>
      <w:r>
        <w:rPr>
          <w:rFonts w:ascii="仿宋" w:cs="仿宋" w:eastAsia="仿宋" w:hAnsi="仿宋"/>
          <w:sz w:val="27"/>
          <w:szCs w:val="27"/>
          <w:color w:val="auto"/>
        </w:rPr>
        <w:t>—6—</w:t>
      </w:r>
    </w:p>
    <w:p>
      <w:pPr>
        <w:sectPr>
          <w:pgSz w:w="11900" w:h="16838" w:orient="portrait"/>
          <w:cols w:equalWidth="0" w:num="1">
            <w:col w:w="9026"/>
          </w:cols>
          <w:pgMar w:left="1440" w:top="1440" w:right="1440" w:bottom="881"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20"/>
        <w:spacing w:after="0" w:line="366" w:lineRule="exact"/>
        <w:rPr>
          <w:sz w:val="20"/>
          <w:szCs w:val="20"/>
          <w:color w:val="auto"/>
        </w:rPr>
      </w:pPr>
      <w:r>
        <w:rPr>
          <w:rFonts w:ascii="黑体" w:cs="黑体" w:eastAsia="黑体" w:hAnsi="黑体"/>
          <w:sz w:val="32"/>
          <w:szCs w:val="32"/>
          <w:color w:val="auto"/>
        </w:rPr>
        <w:t>附件</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1327150</wp:posOffset>
            </wp:positionH>
            <wp:positionV relativeFrom="paragraph">
              <wp:posOffset>481330</wp:posOffset>
            </wp:positionV>
            <wp:extent cx="3634740" cy="3187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extLst>
                    </a:blip>
                    <a:srcRect/>
                    <a:stretch>
                      <a:fillRect/>
                    </a:stretch>
                  </pic:blipFill>
                  <pic:spPr bwMode="auto">
                    <a:xfrm>
                      <a:off x="0" y="0"/>
                      <a:ext cx="3634740" cy="318770"/>
                    </a:xfrm>
                    <a:prstGeom prst="rect">
                      <a:avLst/>
                    </a:prstGeom>
                    <a:noFill/>
                  </pic:spPr>
                </pic:pic>
              </a:graphicData>
            </a:graphic>
          </wp:anchor>
        </w:drawing>
        <w:drawing>
          <wp:anchor simplePos="0" relativeHeight="251657728" behindDoc="1" locked="0" layoutInCell="0" allowOverlap="1">
            <wp:simplePos x="0" y="0"/>
            <wp:positionH relativeFrom="column">
              <wp:posOffset>2025650</wp:posOffset>
            </wp:positionH>
            <wp:positionV relativeFrom="paragraph">
              <wp:posOffset>900430</wp:posOffset>
            </wp:positionV>
            <wp:extent cx="2236470" cy="3187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extLst>
                    </a:blip>
                    <a:srcRect/>
                    <a:stretch>
                      <a:fillRect/>
                    </a:stretch>
                  </pic:blipFill>
                  <pic:spPr bwMode="auto">
                    <a:xfrm>
                      <a:off x="0" y="0"/>
                      <a:ext cx="2236470" cy="3187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tbl>
      <w:tblPr>
        <w:tblLayout w:type="fixed"/>
        <w:tblInd w:w="10" w:type="dxa"/>
        <w:tblCellMar>
          <w:top w:w="0" w:type="dxa"/>
          <w:left w:w="0" w:type="dxa"/>
          <w:bottom w:w="0" w:type="dxa"/>
          <w:right w:w="0" w:type="dxa"/>
        </w:tblCellMar>
      </w:tblPr>
      <w:tr>
        <w:trPr>
          <w:trHeight w:val="397"/>
        </w:trPr>
        <w:tc>
          <w:tcPr>
            <w:tcW w:w="740" w:type="dxa"/>
            <w:vAlign w:val="bottom"/>
            <w:tcBorders>
              <w:top w:val="single" w:sz="8" w:color="auto"/>
              <w:left w:val="single" w:sz="8" w:color="auto"/>
              <w:right w:val="single" w:sz="8" w:color="auto"/>
            </w:tcBorders>
          </w:tcPr>
          <w:p>
            <w:pPr>
              <w:spacing w:after="0"/>
              <w:rPr>
                <w:sz w:val="24"/>
                <w:szCs w:val="24"/>
                <w:color w:val="auto"/>
              </w:rPr>
            </w:pPr>
          </w:p>
        </w:tc>
        <w:tc>
          <w:tcPr>
            <w:tcW w:w="1580" w:type="dxa"/>
            <w:vAlign w:val="bottom"/>
            <w:tcBorders>
              <w:top w:val="single" w:sz="8" w:color="auto"/>
              <w:right w:val="single" w:sz="8" w:color="auto"/>
            </w:tcBorders>
          </w:tcPr>
          <w:p>
            <w:pPr>
              <w:spacing w:after="0"/>
              <w:rPr>
                <w:sz w:val="24"/>
                <w:szCs w:val="24"/>
                <w:color w:val="auto"/>
              </w:rPr>
            </w:pPr>
          </w:p>
        </w:tc>
        <w:tc>
          <w:tcPr>
            <w:tcW w:w="2580" w:type="dxa"/>
            <w:vAlign w:val="bottom"/>
            <w:tcBorders>
              <w:top w:val="single" w:sz="8" w:color="auto"/>
              <w:right w:val="single" w:sz="8" w:color="auto"/>
            </w:tcBorders>
            <w:gridSpan w:val="2"/>
          </w:tcPr>
          <w:p>
            <w:pPr>
              <w:ind w:left="800"/>
              <w:spacing w:after="0" w:line="274" w:lineRule="exact"/>
              <w:rPr>
                <w:sz w:val="20"/>
                <w:szCs w:val="20"/>
                <w:color w:val="auto"/>
              </w:rPr>
            </w:pPr>
            <w:r>
              <w:rPr>
                <w:rFonts w:ascii="宋体" w:cs="宋体" w:eastAsia="宋体" w:hAnsi="宋体"/>
                <w:sz w:val="24"/>
                <w:szCs w:val="24"/>
                <w:color w:val="auto"/>
              </w:rPr>
              <w:t>网报时间</w:t>
            </w:r>
          </w:p>
        </w:tc>
        <w:tc>
          <w:tcPr>
            <w:tcW w:w="2720" w:type="dxa"/>
            <w:vAlign w:val="bottom"/>
            <w:tcBorders>
              <w:top w:val="single" w:sz="8" w:color="auto"/>
              <w:right w:val="single" w:sz="8" w:color="auto"/>
            </w:tcBorders>
            <w:gridSpan w:val="2"/>
          </w:tcPr>
          <w:p>
            <w:pPr>
              <w:ind w:left="620"/>
              <w:spacing w:after="0" w:line="274" w:lineRule="exact"/>
              <w:rPr>
                <w:sz w:val="20"/>
                <w:szCs w:val="20"/>
                <w:color w:val="auto"/>
              </w:rPr>
            </w:pPr>
            <w:r>
              <w:rPr>
                <w:rFonts w:ascii="宋体" w:cs="宋体" w:eastAsia="宋体" w:hAnsi="宋体"/>
                <w:sz w:val="24"/>
                <w:szCs w:val="24"/>
                <w:color w:val="auto"/>
              </w:rPr>
              <w:t>现场确认时间</w:t>
            </w:r>
          </w:p>
        </w:tc>
        <w:tc>
          <w:tcPr>
            <w:tcW w:w="1840" w:type="dxa"/>
            <w:vAlign w:val="bottom"/>
            <w:tcBorders>
              <w:top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6"/>
              </w:rPr>
              <w:t>教师资格认定工</w:t>
            </w:r>
          </w:p>
        </w:tc>
        <w:tc>
          <w:tcPr>
            <w:tcW w:w="0" w:type="dxa"/>
            <w:vAlign w:val="bottom"/>
          </w:tcPr>
          <w:p>
            <w:pPr>
              <w:spacing w:after="0"/>
              <w:rPr>
                <w:sz w:val="1"/>
                <w:szCs w:val="1"/>
                <w:color w:val="auto"/>
              </w:rPr>
            </w:pPr>
          </w:p>
        </w:tc>
      </w:tr>
      <w:tr>
        <w:trPr>
          <w:trHeight w:val="86"/>
        </w:trPr>
        <w:tc>
          <w:tcPr>
            <w:tcW w:w="740" w:type="dxa"/>
            <w:vAlign w:val="bottom"/>
            <w:tcBorders>
              <w:left w:val="single" w:sz="8" w:color="auto"/>
              <w:right w:val="single" w:sz="8" w:color="auto"/>
            </w:tcBorders>
            <w:vMerge w:val="restart"/>
          </w:tcPr>
          <w:p>
            <w:pPr>
              <w:ind w:left="260"/>
              <w:spacing w:after="0" w:line="255" w:lineRule="exact"/>
              <w:rPr>
                <w:sz w:val="20"/>
                <w:szCs w:val="20"/>
                <w:color w:val="auto"/>
              </w:rPr>
            </w:pPr>
            <w:r>
              <w:rPr>
                <w:rFonts w:ascii="宋体" w:cs="宋体" w:eastAsia="宋体" w:hAnsi="宋体"/>
                <w:sz w:val="24"/>
                <w:szCs w:val="24"/>
                <w:color w:val="auto"/>
              </w:rPr>
              <w:t>市</w:t>
            </w:r>
          </w:p>
        </w:tc>
        <w:tc>
          <w:tcPr>
            <w:tcW w:w="1580" w:type="dxa"/>
            <w:vAlign w:val="bottom"/>
            <w:tcBorders>
              <w:right w:val="single" w:sz="8" w:color="auto"/>
            </w:tcBorders>
            <w:vMerge w:val="restart"/>
          </w:tcPr>
          <w:p>
            <w:pPr>
              <w:ind w:left="100"/>
              <w:spacing w:after="0" w:line="255" w:lineRule="exact"/>
              <w:rPr>
                <w:sz w:val="20"/>
                <w:szCs w:val="20"/>
                <w:color w:val="auto"/>
              </w:rPr>
            </w:pPr>
            <w:r>
              <w:rPr>
                <w:rFonts w:ascii="宋体" w:cs="宋体" w:eastAsia="宋体" w:hAnsi="宋体"/>
                <w:sz w:val="24"/>
                <w:szCs w:val="24"/>
                <w:color w:val="auto"/>
                <w:w w:val="99"/>
              </w:rPr>
              <w:t>县（市、区）</w:t>
            </w:r>
          </w:p>
        </w:tc>
        <w:tc>
          <w:tcPr>
            <w:tcW w:w="1280" w:type="dxa"/>
            <w:vAlign w:val="bottom"/>
          </w:tcPr>
          <w:p>
            <w:pPr>
              <w:spacing w:after="0"/>
              <w:rPr>
                <w:sz w:val="7"/>
                <w:szCs w:val="7"/>
                <w:color w:val="auto"/>
              </w:rPr>
            </w:pPr>
          </w:p>
        </w:tc>
        <w:tc>
          <w:tcPr>
            <w:tcW w:w="1300" w:type="dxa"/>
            <w:vAlign w:val="bottom"/>
            <w:tcBorders>
              <w:right w:val="single" w:sz="8" w:color="auto"/>
            </w:tcBorders>
          </w:tcPr>
          <w:p>
            <w:pPr>
              <w:spacing w:after="0"/>
              <w:rPr>
                <w:sz w:val="7"/>
                <w:szCs w:val="7"/>
                <w:color w:val="auto"/>
              </w:rPr>
            </w:pPr>
          </w:p>
        </w:tc>
        <w:tc>
          <w:tcPr>
            <w:tcW w:w="1280" w:type="dxa"/>
            <w:vAlign w:val="bottom"/>
          </w:tcPr>
          <w:p>
            <w:pPr>
              <w:spacing w:after="0"/>
              <w:rPr>
                <w:sz w:val="7"/>
                <w:szCs w:val="7"/>
                <w:color w:val="auto"/>
              </w:rPr>
            </w:pPr>
          </w:p>
        </w:tc>
        <w:tc>
          <w:tcPr>
            <w:tcW w:w="144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8"/>
        </w:trPr>
        <w:tc>
          <w:tcPr>
            <w:tcW w:w="740" w:type="dxa"/>
            <w:vAlign w:val="bottom"/>
            <w:tcBorders>
              <w:left w:val="single" w:sz="8" w:color="auto"/>
              <w:right w:val="single" w:sz="8" w:color="auto"/>
            </w:tcBorders>
            <w:vMerge w:val="continue"/>
          </w:tcPr>
          <w:p>
            <w:pPr>
              <w:spacing w:after="0"/>
              <w:rPr>
                <w:sz w:val="2"/>
                <w:szCs w:val="2"/>
                <w:color w:val="auto"/>
              </w:rPr>
            </w:pPr>
          </w:p>
        </w:tc>
        <w:tc>
          <w:tcPr>
            <w:tcW w:w="1580" w:type="dxa"/>
            <w:vAlign w:val="bottom"/>
            <w:tcBorders>
              <w:right w:val="single" w:sz="8" w:color="auto"/>
            </w:tcBorders>
            <w:vMerge w:val="continue"/>
          </w:tcPr>
          <w:p>
            <w:pPr>
              <w:spacing w:after="0"/>
              <w:rPr>
                <w:sz w:val="2"/>
                <w:szCs w:val="2"/>
                <w:color w:val="auto"/>
              </w:rPr>
            </w:pPr>
          </w:p>
        </w:tc>
        <w:tc>
          <w:tcPr>
            <w:tcW w:w="1280" w:type="dxa"/>
            <w:vAlign w:val="bottom"/>
            <w:tcBorders>
              <w:bottom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18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作联系人电话</w:t>
            </w:r>
          </w:p>
        </w:tc>
        <w:tc>
          <w:tcPr>
            <w:tcW w:w="0" w:type="dxa"/>
            <w:vAlign w:val="bottom"/>
          </w:tcPr>
          <w:p>
            <w:pPr>
              <w:spacing w:after="0"/>
              <w:rPr>
                <w:sz w:val="1"/>
                <w:szCs w:val="1"/>
                <w:color w:val="auto"/>
              </w:rPr>
            </w:pPr>
          </w:p>
        </w:tc>
      </w:tr>
      <w:tr>
        <w:trPr>
          <w:trHeight w:val="120"/>
        </w:trPr>
        <w:tc>
          <w:tcPr>
            <w:tcW w:w="740" w:type="dxa"/>
            <w:vAlign w:val="bottom"/>
            <w:tcBorders>
              <w:left w:val="single" w:sz="8" w:color="auto"/>
              <w:right w:val="single" w:sz="8" w:color="auto"/>
            </w:tcBorders>
            <w:vMerge w:val="continue"/>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restart"/>
          </w:tcPr>
          <w:p>
            <w:pPr>
              <w:ind w:left="140"/>
              <w:spacing w:after="0" w:line="274" w:lineRule="exact"/>
              <w:rPr>
                <w:sz w:val="20"/>
                <w:szCs w:val="20"/>
                <w:color w:val="auto"/>
              </w:rPr>
            </w:pPr>
            <w:r>
              <w:rPr>
                <w:rFonts w:ascii="宋体" w:cs="宋体" w:eastAsia="宋体" w:hAnsi="宋体"/>
                <w:sz w:val="24"/>
                <w:szCs w:val="24"/>
                <w:color w:val="auto"/>
              </w:rPr>
              <w:t>开始时间</w:t>
            </w:r>
          </w:p>
        </w:tc>
        <w:tc>
          <w:tcPr>
            <w:tcW w:w="1300" w:type="dxa"/>
            <w:vAlign w:val="bottom"/>
            <w:tcBorders>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结束时间</w:t>
            </w:r>
          </w:p>
        </w:tc>
        <w:tc>
          <w:tcPr>
            <w:tcW w:w="1280" w:type="dxa"/>
            <w:vAlign w:val="bottom"/>
            <w:tcBorders>
              <w:right w:val="single" w:sz="8" w:color="auto"/>
            </w:tcBorders>
            <w:vMerge w:val="restart"/>
          </w:tcPr>
          <w:p>
            <w:pPr>
              <w:ind w:left="140"/>
              <w:spacing w:after="0" w:line="274" w:lineRule="exact"/>
              <w:rPr>
                <w:sz w:val="20"/>
                <w:szCs w:val="20"/>
                <w:color w:val="auto"/>
              </w:rPr>
            </w:pPr>
            <w:r>
              <w:rPr>
                <w:rFonts w:ascii="宋体" w:cs="宋体" w:eastAsia="宋体" w:hAnsi="宋体"/>
                <w:sz w:val="24"/>
                <w:szCs w:val="24"/>
                <w:color w:val="auto"/>
              </w:rPr>
              <w:t>开始时间</w:t>
            </w:r>
          </w:p>
        </w:tc>
        <w:tc>
          <w:tcPr>
            <w:tcW w:w="1440" w:type="dxa"/>
            <w:vAlign w:val="bottom"/>
            <w:tcBorders>
              <w:right w:val="single" w:sz="8" w:color="auto"/>
            </w:tcBorders>
            <w:vMerge w:val="restart"/>
          </w:tcPr>
          <w:p>
            <w:pPr>
              <w:ind w:left="220"/>
              <w:spacing w:after="0" w:line="274" w:lineRule="exact"/>
              <w:rPr>
                <w:sz w:val="20"/>
                <w:szCs w:val="20"/>
                <w:color w:val="auto"/>
              </w:rPr>
            </w:pPr>
            <w:r>
              <w:rPr>
                <w:rFonts w:ascii="宋体" w:cs="宋体" w:eastAsia="宋体" w:hAnsi="宋体"/>
                <w:sz w:val="24"/>
                <w:szCs w:val="24"/>
                <w:color w:val="auto"/>
              </w:rPr>
              <w:t>结束时间</w:t>
            </w: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740" w:type="dxa"/>
            <w:vAlign w:val="bottom"/>
            <w:tcBorders>
              <w:left w:val="single" w:sz="8" w:color="auto"/>
              <w:right w:val="single" w:sz="8" w:color="auto"/>
            </w:tcBorders>
          </w:tcPr>
          <w:p>
            <w:pPr>
              <w:spacing w:after="0"/>
              <w:rPr>
                <w:sz w:val="14"/>
                <w:szCs w:val="14"/>
                <w:color w:val="auto"/>
              </w:rPr>
            </w:pPr>
          </w:p>
        </w:tc>
        <w:tc>
          <w:tcPr>
            <w:tcW w:w="1580" w:type="dxa"/>
            <w:vAlign w:val="bottom"/>
            <w:tcBorders>
              <w:right w:val="single" w:sz="8" w:color="auto"/>
            </w:tcBorders>
          </w:tcPr>
          <w:p>
            <w:pPr>
              <w:spacing w:after="0"/>
              <w:rPr>
                <w:sz w:val="14"/>
                <w:szCs w:val="14"/>
                <w:color w:val="auto"/>
              </w:rPr>
            </w:pPr>
          </w:p>
        </w:tc>
        <w:tc>
          <w:tcPr>
            <w:tcW w:w="1280" w:type="dxa"/>
            <w:vAlign w:val="bottom"/>
            <w:tcBorders>
              <w:right w:val="single" w:sz="8" w:color="auto"/>
            </w:tcBorders>
            <w:vMerge w:val="continue"/>
          </w:tcPr>
          <w:p>
            <w:pPr>
              <w:spacing w:after="0"/>
              <w:rPr>
                <w:sz w:val="14"/>
                <w:szCs w:val="14"/>
                <w:color w:val="auto"/>
              </w:rPr>
            </w:pPr>
          </w:p>
        </w:tc>
        <w:tc>
          <w:tcPr>
            <w:tcW w:w="1300" w:type="dxa"/>
            <w:vAlign w:val="bottom"/>
            <w:tcBorders>
              <w:right w:val="single" w:sz="8" w:color="auto"/>
            </w:tcBorders>
            <w:vMerge w:val="continue"/>
          </w:tcPr>
          <w:p>
            <w:pPr>
              <w:spacing w:after="0"/>
              <w:rPr>
                <w:sz w:val="14"/>
                <w:szCs w:val="14"/>
                <w:color w:val="auto"/>
              </w:rPr>
            </w:pPr>
          </w:p>
        </w:tc>
        <w:tc>
          <w:tcPr>
            <w:tcW w:w="1280" w:type="dxa"/>
            <w:vAlign w:val="bottom"/>
            <w:tcBorders>
              <w:right w:val="single" w:sz="8" w:color="auto"/>
            </w:tcBorders>
            <w:vMerge w:val="continue"/>
          </w:tcPr>
          <w:p>
            <w:pPr>
              <w:spacing w:after="0"/>
              <w:rPr>
                <w:sz w:val="14"/>
                <w:szCs w:val="14"/>
                <w:color w:val="auto"/>
              </w:rPr>
            </w:pPr>
          </w:p>
        </w:tc>
        <w:tc>
          <w:tcPr>
            <w:tcW w:w="1440" w:type="dxa"/>
            <w:vAlign w:val="bottom"/>
            <w:tcBorders>
              <w:right w:val="single" w:sz="8" w:color="auto"/>
            </w:tcBorders>
            <w:vMerge w:val="continue"/>
          </w:tcPr>
          <w:p>
            <w:pPr>
              <w:spacing w:after="0"/>
              <w:rPr>
                <w:sz w:val="14"/>
                <w:szCs w:val="14"/>
                <w:color w:val="auto"/>
              </w:rPr>
            </w:pPr>
          </w:p>
        </w:tc>
        <w:tc>
          <w:tcPr>
            <w:tcW w:w="18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86"/>
        </w:trPr>
        <w:tc>
          <w:tcPr>
            <w:tcW w:w="740" w:type="dxa"/>
            <w:vAlign w:val="bottom"/>
            <w:tcBorders>
              <w:left w:val="single" w:sz="8" w:color="auto"/>
              <w:right w:val="single" w:sz="8" w:color="auto"/>
            </w:tcBorders>
          </w:tcPr>
          <w:p>
            <w:pPr>
              <w:spacing w:after="0"/>
              <w:rPr>
                <w:sz w:val="7"/>
                <w:szCs w:val="7"/>
                <w:color w:val="auto"/>
              </w:rPr>
            </w:pPr>
          </w:p>
        </w:tc>
        <w:tc>
          <w:tcPr>
            <w:tcW w:w="1580" w:type="dxa"/>
            <w:vAlign w:val="bottom"/>
            <w:tcBorders>
              <w:right w:val="single" w:sz="8" w:color="auto"/>
            </w:tcBorders>
          </w:tcPr>
          <w:p>
            <w:pPr>
              <w:spacing w:after="0"/>
              <w:rPr>
                <w:sz w:val="7"/>
                <w:szCs w:val="7"/>
                <w:color w:val="auto"/>
              </w:rPr>
            </w:pPr>
          </w:p>
        </w:tc>
        <w:tc>
          <w:tcPr>
            <w:tcW w:w="1280" w:type="dxa"/>
            <w:vAlign w:val="bottom"/>
            <w:tcBorders>
              <w:right w:val="single" w:sz="8" w:color="auto"/>
            </w:tcBorders>
            <w:vMerge w:val="continue"/>
          </w:tcPr>
          <w:p>
            <w:pPr>
              <w:spacing w:after="0"/>
              <w:rPr>
                <w:sz w:val="7"/>
                <w:szCs w:val="7"/>
                <w:color w:val="auto"/>
              </w:rPr>
            </w:pPr>
          </w:p>
        </w:tc>
        <w:tc>
          <w:tcPr>
            <w:tcW w:w="1300" w:type="dxa"/>
            <w:vAlign w:val="bottom"/>
            <w:tcBorders>
              <w:right w:val="single" w:sz="8" w:color="auto"/>
            </w:tcBorders>
            <w:vMerge w:val="continue"/>
          </w:tcPr>
          <w:p>
            <w:pPr>
              <w:spacing w:after="0"/>
              <w:rPr>
                <w:sz w:val="7"/>
                <w:szCs w:val="7"/>
                <w:color w:val="auto"/>
              </w:rPr>
            </w:pPr>
          </w:p>
        </w:tc>
        <w:tc>
          <w:tcPr>
            <w:tcW w:w="1280" w:type="dxa"/>
            <w:vAlign w:val="bottom"/>
            <w:tcBorders>
              <w:right w:val="single" w:sz="8" w:color="auto"/>
            </w:tcBorders>
            <w:vMerge w:val="continue"/>
          </w:tcPr>
          <w:p>
            <w:pPr>
              <w:spacing w:after="0"/>
              <w:rPr>
                <w:sz w:val="7"/>
                <w:szCs w:val="7"/>
                <w:color w:val="auto"/>
              </w:rPr>
            </w:pPr>
          </w:p>
        </w:tc>
        <w:tc>
          <w:tcPr>
            <w:tcW w:w="1440" w:type="dxa"/>
            <w:vAlign w:val="bottom"/>
            <w:tcBorders>
              <w:right w:val="single" w:sz="8" w:color="auto"/>
            </w:tcBorders>
            <w:vMerge w:val="continue"/>
          </w:tcPr>
          <w:p>
            <w:pPr>
              <w:spacing w:after="0"/>
              <w:rPr>
                <w:sz w:val="7"/>
                <w:szCs w:val="7"/>
                <w:color w:val="auto"/>
              </w:rPr>
            </w:pPr>
          </w:p>
        </w:tc>
        <w:tc>
          <w:tcPr>
            <w:tcW w:w="1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740" w:type="dxa"/>
            <w:vAlign w:val="bottom"/>
            <w:tcBorders>
              <w:left w:val="single" w:sz="8" w:color="auto"/>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30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440" w:type="dxa"/>
            <w:vAlign w:val="bottom"/>
            <w:tcBorders>
              <w:bottom w:val="single" w:sz="8" w:color="auto"/>
              <w:right w:val="single" w:sz="8" w:color="auto"/>
            </w:tcBorders>
          </w:tcPr>
          <w:p>
            <w:pPr>
              <w:spacing w:after="0"/>
              <w:rPr>
                <w:sz w:val="9"/>
                <w:szCs w:val="9"/>
                <w:color w:val="auto"/>
              </w:rPr>
            </w:pPr>
          </w:p>
        </w:tc>
        <w:tc>
          <w:tcPr>
            <w:tcW w:w="1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91"/>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4"/>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2"/>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4"/>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2"/>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7"/>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4"/>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6"/>
        </w:trPr>
        <w:tc>
          <w:tcPr>
            <w:tcW w:w="740" w:type="dxa"/>
            <w:vAlign w:val="bottom"/>
            <w:tcBorders>
              <w:left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7"/>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-330835</wp:posOffset>
                </wp:positionV>
                <wp:extent cx="12700" cy="127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7" o:spid="_x0000_s1032" style="position:absolute;margin-left:0.15pt;margin-top:-26.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460"/>
          </w:cols>
          <w:pgMar w:left="1280" w:top="1440" w:right="1166" w:bottom="88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8240"/>
        <w:spacing w:after="0" w:line="308" w:lineRule="exact"/>
        <w:rPr>
          <w:sz w:val="20"/>
          <w:szCs w:val="20"/>
          <w:color w:val="auto"/>
        </w:rPr>
      </w:pPr>
      <w:r>
        <w:rPr>
          <w:rFonts w:ascii="仿宋" w:cs="仿宋" w:eastAsia="仿宋" w:hAnsi="仿宋"/>
          <w:sz w:val="27"/>
          <w:szCs w:val="27"/>
          <w:color w:val="auto"/>
        </w:rPr>
        <w:t>—7—</w:t>
      </w:r>
    </w:p>
    <w:sectPr>
      <w:pgSz w:w="11900" w:h="16838" w:orient="portrait"/>
      <w:cols w:equalWidth="0" w:num="1">
        <w:col w:w="9460"/>
      </w:cols>
      <w:pgMar w:left="1280" w:top="1440" w:right="1166" w:bottom="88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2" Type="http://schemas.openxmlformats.org/officeDocument/2006/relationships/hyperlink" Target="file:///D:/&#231;&#188;&#150;&#229;&#143;&#183;&#230;&#150;&#135;&#228;&#187;&#182;/&#230;&#150;&#176;&#230;&#150;&#135;&#228;&#187;&#182;&#229;&#164;&#180;/www.jszg.edu.cn"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2017-09-29T11:43:59Z</dcterms:created>
  <dcterms:modified xsi:type="dcterms:W3CDTF">2017-09-29T11:43:59Z</dcterms:modified>
</cp:coreProperties>
</file>